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5BC" w:rsidRPr="00E445BC" w:rsidRDefault="00131304" w:rsidP="00E445BC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E445BC">
        <w:rPr>
          <w:b/>
          <w:sz w:val="24"/>
        </w:rPr>
        <w:t>. P. R-INT-l.4.2</w:t>
      </w:r>
      <w:r w:rsidR="00D53511">
        <w:rPr>
          <w:b/>
          <w:sz w:val="24"/>
        </w:rPr>
        <w:t>.-</w:t>
      </w:r>
      <w:r w:rsidR="00D53511" w:rsidRPr="00D53511">
        <w:rPr>
          <w:rFonts w:ascii="Arial" w:hAnsi="Arial" w:cs="Arial"/>
          <w:sz w:val="20"/>
          <w:szCs w:val="20"/>
        </w:rPr>
        <w:t xml:space="preserve"> </w:t>
      </w:r>
      <w:r w:rsidR="00E445BC" w:rsidRPr="00E445BC">
        <w:rPr>
          <w:rFonts w:ascii="Arial" w:eastAsia="Times New Roman" w:hAnsi="Arial" w:cs="Arial"/>
          <w:sz w:val="20"/>
          <w:szCs w:val="20"/>
          <w:lang w:eastAsia="es-MX"/>
        </w:rPr>
        <w:t xml:space="preserve">Suministro y colocación de protección en ventana de coro de acuerdo con vestigios que se encuentran en el templo, realizando este con malla multiperforadora cal 16 y un refuerzo estructural hecho con perfil angular de 1" a cada 60 cm. </w:t>
      </w:r>
      <w:proofErr w:type="spellStart"/>
      <w:r w:rsidR="00E445BC" w:rsidRPr="00E445BC">
        <w:rPr>
          <w:rFonts w:ascii="Arial" w:eastAsia="Times New Roman" w:hAnsi="Arial" w:cs="Arial"/>
          <w:sz w:val="20"/>
          <w:szCs w:val="20"/>
          <w:lang w:eastAsia="es-MX"/>
        </w:rPr>
        <w:t>Ap</w:t>
      </w:r>
      <w:bookmarkStart w:id="0" w:name="_GoBack"/>
      <w:bookmarkEnd w:id="0"/>
      <w:r w:rsidR="00E445BC" w:rsidRPr="00E445BC">
        <w:rPr>
          <w:rFonts w:ascii="Arial" w:eastAsia="Times New Roman" w:hAnsi="Arial" w:cs="Arial"/>
          <w:sz w:val="20"/>
          <w:szCs w:val="20"/>
          <w:lang w:eastAsia="es-MX"/>
        </w:rPr>
        <w:t>ox</w:t>
      </w:r>
      <w:proofErr w:type="spellEnd"/>
      <w:r w:rsidR="00E445BC" w:rsidRPr="00E445BC">
        <w:rPr>
          <w:rFonts w:ascii="Arial" w:eastAsia="Times New Roman" w:hAnsi="Arial" w:cs="Arial"/>
          <w:sz w:val="20"/>
          <w:szCs w:val="20"/>
          <w:lang w:eastAsia="es-MX"/>
        </w:rPr>
        <w:t>. Formando una base en donde se asentará la lámina multiperforadora. El precio unitario comprende todos los materiales, desperdicios, equipo, herramienta, andamios de seguridad, equipo de seguridad de los trabajadores y todo lo necesario para su correcta fabricación y colocación. P.U.O.T.</w:t>
      </w:r>
    </w:p>
    <w:p w:rsidR="00D53511" w:rsidRPr="00D53511" w:rsidRDefault="00D53511" w:rsidP="00D53511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D53511">
        <w:t xml:space="preserve"> medición será en pieza (PZA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C56621"/>
    <w:rsid w:val="00D040D7"/>
    <w:rsid w:val="00D53511"/>
    <w:rsid w:val="00E4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F342F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2017-10-09T14:47:00Z</dcterms:created>
  <dcterms:modified xsi:type="dcterms:W3CDTF">2017-10-09T16:15:00Z</dcterms:modified>
</cp:coreProperties>
</file>